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E67" w:rsidRPr="001D58F7" w:rsidRDefault="00F03F4D" w:rsidP="001D58F7">
      <w:pPr>
        <w:pStyle w:val="a4"/>
        <w:spacing w:line="300" w:lineRule="auto"/>
        <w:rPr>
          <w:rFonts w:ascii="黑体" w:eastAsia="黑体" w:hAnsi="黑体"/>
        </w:rPr>
      </w:pPr>
      <w:r w:rsidRPr="001D58F7">
        <w:rPr>
          <w:rFonts w:ascii="黑体" w:eastAsia="黑体" w:hAnsi="黑体" w:hint="eastAsia"/>
        </w:rPr>
        <w:t>中共中央</w:t>
      </w:r>
      <w:bookmarkStart w:id="0" w:name="_GoBack"/>
      <w:bookmarkEnd w:id="0"/>
      <w:r w:rsidRPr="001D58F7">
        <w:rPr>
          <w:rFonts w:ascii="黑体" w:eastAsia="黑体" w:hAnsi="黑体" w:hint="eastAsia"/>
        </w:rPr>
        <w:t>国务院印发《中国教育现代化</w:t>
      </w:r>
      <w:r w:rsidRPr="001D58F7">
        <w:rPr>
          <w:rFonts w:ascii="黑体" w:eastAsia="黑体" w:hAnsi="黑体"/>
        </w:rPr>
        <w:t>2035》</w:t>
      </w:r>
    </w:p>
    <w:tbl>
      <w:tblPr>
        <w:tblW w:w="4950" w:type="pct"/>
        <w:shd w:val="clear" w:color="auto" w:fill="E6F5FC"/>
        <w:tblCellMar>
          <w:left w:w="0" w:type="dxa"/>
          <w:right w:w="0" w:type="dxa"/>
        </w:tblCellMar>
        <w:tblLook w:val="04A0" w:firstRow="1" w:lastRow="0" w:firstColumn="1" w:lastColumn="0" w:noHBand="0" w:noVBand="1"/>
      </w:tblPr>
      <w:tblGrid>
        <w:gridCol w:w="8223"/>
      </w:tblGrid>
      <w:tr w:rsidR="00F03F4D" w:rsidRPr="00F03F4D" w:rsidTr="00F03F4D">
        <w:tc>
          <w:tcPr>
            <w:tcW w:w="0" w:type="auto"/>
            <w:shd w:val="clear" w:color="auto" w:fill="E6F5FC"/>
            <w:vAlign w:val="center"/>
            <w:hideMark/>
          </w:tcPr>
          <w:p w:rsidR="00F03F4D" w:rsidRPr="00F03F4D" w:rsidRDefault="00F03F4D" w:rsidP="001D58F7">
            <w:pPr>
              <w:widowControl/>
              <w:spacing w:line="300" w:lineRule="auto"/>
              <w:ind w:firstLineChars="200" w:firstLine="480"/>
              <w:jc w:val="center"/>
              <w:rPr>
                <w:rFonts w:ascii="宋体" w:eastAsia="宋体" w:hAnsi="宋体" w:cs="宋体"/>
                <w:color w:val="000000"/>
                <w:kern w:val="0"/>
                <w:sz w:val="24"/>
                <w:szCs w:val="24"/>
              </w:rPr>
            </w:pPr>
          </w:p>
        </w:tc>
      </w:tr>
      <w:tr w:rsidR="00F03F4D" w:rsidRPr="00F03F4D" w:rsidTr="00F03F4D">
        <w:tc>
          <w:tcPr>
            <w:tcW w:w="0" w:type="auto"/>
            <w:shd w:val="clear" w:color="auto" w:fill="E6F5FC"/>
            <w:vAlign w:val="center"/>
            <w:hideMark/>
          </w:tcPr>
          <w:p w:rsidR="00F03F4D" w:rsidRPr="00F03F4D" w:rsidRDefault="00F03F4D" w:rsidP="001D58F7">
            <w:pPr>
              <w:widowControl/>
              <w:spacing w:line="300" w:lineRule="auto"/>
              <w:ind w:firstLineChars="200" w:firstLine="480"/>
              <w:jc w:val="center"/>
              <w:rPr>
                <w:rFonts w:ascii="宋体" w:eastAsia="宋体" w:hAnsi="宋体" w:cs="Times New Roman"/>
                <w:kern w:val="0"/>
                <w:sz w:val="24"/>
                <w:szCs w:val="24"/>
              </w:rPr>
            </w:pPr>
          </w:p>
        </w:tc>
      </w:tr>
      <w:tr w:rsidR="00F03F4D" w:rsidRPr="00F03F4D" w:rsidTr="00F03F4D">
        <w:tc>
          <w:tcPr>
            <w:tcW w:w="0" w:type="auto"/>
            <w:shd w:val="clear" w:color="auto" w:fill="E6F5FC"/>
            <w:vAlign w:val="center"/>
            <w:hideMark/>
          </w:tcPr>
          <w:p w:rsidR="00F03F4D" w:rsidRPr="00F03F4D" w:rsidRDefault="00F03F4D" w:rsidP="001D58F7">
            <w:pPr>
              <w:widowControl/>
              <w:spacing w:line="300" w:lineRule="auto"/>
              <w:ind w:firstLineChars="200" w:firstLine="480"/>
              <w:jc w:val="center"/>
              <w:rPr>
                <w:rFonts w:ascii="宋体" w:eastAsia="宋体" w:hAnsi="宋体" w:cs="宋体"/>
                <w:color w:val="000000"/>
                <w:kern w:val="0"/>
                <w:sz w:val="24"/>
                <w:szCs w:val="24"/>
              </w:rPr>
            </w:pPr>
          </w:p>
        </w:tc>
      </w:tr>
      <w:tr w:rsidR="00F03F4D" w:rsidRPr="00F03F4D" w:rsidTr="00F03F4D">
        <w:tc>
          <w:tcPr>
            <w:tcW w:w="0" w:type="auto"/>
            <w:shd w:val="clear" w:color="auto" w:fill="E6F5FC"/>
            <w:vAlign w:val="center"/>
            <w:hideMark/>
          </w:tcPr>
          <w:p w:rsidR="00F03F4D" w:rsidRPr="00F03F4D" w:rsidRDefault="00F03F4D" w:rsidP="001D58F7">
            <w:pPr>
              <w:widowControl/>
              <w:spacing w:line="300" w:lineRule="auto"/>
              <w:ind w:firstLineChars="200" w:firstLine="480"/>
              <w:jc w:val="left"/>
              <w:rPr>
                <w:rFonts w:ascii="宋体" w:eastAsia="宋体" w:hAnsi="宋体" w:cs="宋体"/>
                <w:color w:val="000000"/>
                <w:kern w:val="0"/>
                <w:sz w:val="24"/>
                <w:szCs w:val="24"/>
              </w:rPr>
            </w:pPr>
          </w:p>
        </w:tc>
      </w:tr>
    </w:tbl>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新华社北京2月23日电 近日，中共中央、国务院印发了《中国教育现代化2035》，并发出通知，要求各地区各部门结合实际认真贯彻落实。</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《中国教育现代化2035》分为五个部分：一、战略背景；二、总体思路；三、战略任务；四、实施路径；五、保障措施。</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w:t>
      </w:r>
      <w:r w:rsidRPr="001D58F7">
        <w:rPr>
          <w:rFonts w:ascii="宋体" w:eastAsia="宋体" w:hAnsi="宋体" w:hint="eastAsia"/>
          <w:sz w:val="24"/>
          <w:szCs w:val="24"/>
        </w:rPr>
        <w:t>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促进教育公平，优化教育结构，为决胜全面建成小康社会、实现新时代中国特色社会主义发展的奋斗目标提供有力支撑。</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中国教育现代化2035》提出，推进教育现代化的总体目标是：到2020年，全面实现“十三五”发展目标，教育总体实力和国际影响力显著增强，劳动年龄人口平均受教育年限明显增加，教育现代化取得重要进展，为全面建成小康社会</w:t>
      </w:r>
      <w:proofErr w:type="gramStart"/>
      <w:r w:rsidRPr="001D58F7">
        <w:rPr>
          <w:rFonts w:ascii="宋体" w:eastAsia="宋体" w:hAnsi="宋体"/>
          <w:sz w:val="24"/>
          <w:szCs w:val="24"/>
        </w:rPr>
        <w:t>作出</w:t>
      </w:r>
      <w:proofErr w:type="gramEnd"/>
      <w:r w:rsidRPr="001D58F7">
        <w:rPr>
          <w:rFonts w:ascii="宋体" w:eastAsia="宋体" w:hAnsi="宋体"/>
          <w:sz w:val="24"/>
          <w:szCs w:val="24"/>
        </w:rPr>
        <w:t>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w:t>
      </w:r>
      <w:r w:rsidRPr="001D58F7">
        <w:rPr>
          <w:rFonts w:ascii="宋体" w:eastAsia="宋体" w:hAnsi="宋体" w:hint="eastAsia"/>
          <w:sz w:val="24"/>
          <w:szCs w:val="24"/>
        </w:rPr>
        <w:t>前教育、实现优质均衡的义务教育、全面普及高中阶段教育、职业教育服务能力显著提升、高等教育竞争力明显提升、残疾儿童少年享有适合的教育、形成全社会共同参与的教育治理新格局。</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lastRenderedPageBreak/>
        <w:t>《中国教育现代化2035》聚焦教育发展的突出问题和薄弱环节，立足当前，着眼长远，重点部署了面向教育现代化的十大战略任务：</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一是学</w:t>
      </w:r>
      <w:proofErr w:type="gramStart"/>
      <w:r w:rsidRPr="001D58F7">
        <w:rPr>
          <w:rFonts w:ascii="宋体" w:eastAsia="宋体" w:hAnsi="宋体"/>
          <w:sz w:val="24"/>
          <w:szCs w:val="24"/>
        </w:rPr>
        <w:t>习习近</w:t>
      </w:r>
      <w:proofErr w:type="gramEnd"/>
      <w:r w:rsidRPr="001D58F7">
        <w:rPr>
          <w:rFonts w:ascii="宋体" w:eastAsia="宋体" w:hAnsi="宋体"/>
          <w:sz w:val="24"/>
          <w:szCs w:val="24"/>
        </w:rPr>
        <w:t>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二是发展中国特色世界先进水平的优质教育。全面落实立德树人根本任务，广泛开展理想信念教育，厚植爱国主义情怀，加强品德修养，增长知识见识，</w:t>
      </w:r>
      <w:proofErr w:type="gramStart"/>
      <w:r w:rsidRPr="001D58F7">
        <w:rPr>
          <w:rFonts w:ascii="宋体" w:eastAsia="宋体" w:hAnsi="宋体"/>
          <w:sz w:val="24"/>
          <w:szCs w:val="24"/>
        </w:rPr>
        <w:t>培养奋斗</w:t>
      </w:r>
      <w:proofErr w:type="gramEnd"/>
      <w:r w:rsidRPr="001D58F7">
        <w:rPr>
          <w:rFonts w:ascii="宋体" w:eastAsia="宋体" w:hAnsi="宋体"/>
          <w:sz w:val="24"/>
          <w:szCs w:val="24"/>
        </w:rPr>
        <w:t>精神，不断提高学生思想水平、政治觉悟、道德品质、文化素养。增强综合素质，树立</w:t>
      </w:r>
      <w:proofErr w:type="gramStart"/>
      <w:r w:rsidRPr="001D58F7">
        <w:rPr>
          <w:rFonts w:ascii="宋体" w:eastAsia="宋体" w:hAnsi="宋体"/>
          <w:sz w:val="24"/>
          <w:szCs w:val="24"/>
        </w:rPr>
        <w:t>健康第一</w:t>
      </w:r>
      <w:proofErr w:type="gramEnd"/>
      <w:r w:rsidRPr="001D58F7">
        <w:rPr>
          <w:rFonts w:ascii="宋体" w:eastAsia="宋体" w:hAnsi="宋体"/>
          <w:sz w:val="24"/>
          <w:szCs w:val="24"/>
        </w:rPr>
        <w:t>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w:t>
      </w:r>
      <w:r w:rsidRPr="001D58F7">
        <w:rPr>
          <w:rFonts w:ascii="宋体" w:eastAsia="宋体" w:hAnsi="宋体" w:hint="eastAsia"/>
          <w:sz w:val="24"/>
          <w:szCs w:val="24"/>
        </w:rPr>
        <w:t>各学科学业质量标准和体质健康标准。健全职业教育人才培养质量标准，制定紧跟时代发展的多样化高等教育人才培养质量标准。建立以师资配备、生均拨款、教学设施设备等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w:t>
      </w:r>
      <w:proofErr w:type="gramStart"/>
      <w:r w:rsidRPr="001D58F7">
        <w:rPr>
          <w:rFonts w:ascii="宋体" w:eastAsia="宋体" w:hAnsi="宋体" w:hint="eastAsia"/>
          <w:sz w:val="24"/>
          <w:szCs w:val="24"/>
        </w:rPr>
        <w:t>以及走班制</w:t>
      </w:r>
      <w:proofErr w:type="gramEnd"/>
      <w:r w:rsidRPr="001D58F7">
        <w:rPr>
          <w:rFonts w:ascii="宋体" w:eastAsia="宋体" w:hAnsi="宋体" w:hint="eastAsia"/>
          <w:sz w:val="24"/>
          <w:szCs w:val="24"/>
        </w:rPr>
        <w:t>、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三是推动各级教育高水平高质量普及。以农村为重点提升学前教育普及水平，建立更为完善的学前教育管理体制、办园体制和投入体制，大力发展公办园，加快发展普惠性民办幼儿园。提升义务教育巩固水平，健全控</w:t>
      </w:r>
      <w:proofErr w:type="gramStart"/>
      <w:r w:rsidRPr="001D58F7">
        <w:rPr>
          <w:rFonts w:ascii="宋体" w:eastAsia="宋体" w:hAnsi="宋体"/>
          <w:sz w:val="24"/>
          <w:szCs w:val="24"/>
        </w:rPr>
        <w:t>辍保学工作责任</w:t>
      </w:r>
      <w:proofErr w:type="gramEnd"/>
      <w:r w:rsidRPr="001D58F7">
        <w:rPr>
          <w:rFonts w:ascii="宋体" w:eastAsia="宋体" w:hAnsi="宋体"/>
          <w:sz w:val="24"/>
          <w:szCs w:val="24"/>
        </w:rPr>
        <w:t>体系。提升高中阶段教育普及水平，推进中等职业教育和普通高中教育协调发展，鼓励普通高中多样化有特色发展。振兴中西部地区高等教育。提升民族教育发展水平。</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w:t>
      </w:r>
      <w:r w:rsidRPr="001D58F7">
        <w:rPr>
          <w:rFonts w:ascii="宋体" w:eastAsia="宋体" w:hAnsi="宋体"/>
          <w:sz w:val="24"/>
          <w:szCs w:val="24"/>
        </w:rPr>
        <w:lastRenderedPageBreak/>
        <w:t>学位供给。完善流动人口子女异地升学考试制度。实现困难群体帮扶精准化，健全家庭经济困难学生资助体系，推进教育精准脱贫。办好特殊教育，推进适龄残疾儿童少年教育全覆盖，全面推进融合教育，促进</w:t>
      </w:r>
      <w:proofErr w:type="gramStart"/>
      <w:r w:rsidRPr="001D58F7">
        <w:rPr>
          <w:rFonts w:ascii="宋体" w:eastAsia="宋体" w:hAnsi="宋体"/>
          <w:sz w:val="24"/>
          <w:szCs w:val="24"/>
        </w:rPr>
        <w:t>医</w:t>
      </w:r>
      <w:proofErr w:type="gramEnd"/>
      <w:r w:rsidRPr="001D58F7">
        <w:rPr>
          <w:rFonts w:ascii="宋体" w:eastAsia="宋体" w:hAnsi="宋体"/>
          <w:sz w:val="24"/>
          <w:szCs w:val="24"/>
        </w:rPr>
        <w:t>教结合。</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w:t>
      </w:r>
      <w:r w:rsidRPr="001D58F7">
        <w:rPr>
          <w:rFonts w:ascii="宋体" w:eastAsia="宋体" w:hAnsi="宋体" w:hint="eastAsia"/>
          <w:sz w:val="24"/>
          <w:szCs w:val="24"/>
        </w:rPr>
        <w:t>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w:t>
      </w:r>
      <w:proofErr w:type="gramStart"/>
      <w:r w:rsidRPr="001D58F7">
        <w:rPr>
          <w:rFonts w:ascii="宋体" w:eastAsia="宋体" w:hAnsi="宋体" w:hint="eastAsia"/>
          <w:sz w:val="24"/>
          <w:szCs w:val="24"/>
        </w:rPr>
        <w:t>新型智库</w:t>
      </w:r>
      <w:proofErr w:type="gramEnd"/>
      <w:r w:rsidRPr="001D58F7">
        <w:rPr>
          <w:rFonts w:ascii="宋体" w:eastAsia="宋体" w:hAnsi="宋体" w:hint="eastAsia"/>
          <w:sz w:val="24"/>
          <w:szCs w:val="24"/>
        </w:rPr>
        <w:t>建设。健全有利于激发创新活力和促进科技成果转化的科研体制。</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w:t>
      </w:r>
      <w:proofErr w:type="gramStart"/>
      <w:r w:rsidRPr="001D58F7">
        <w:rPr>
          <w:rFonts w:ascii="宋体" w:eastAsia="宋体" w:hAnsi="宋体"/>
          <w:sz w:val="24"/>
          <w:szCs w:val="24"/>
        </w:rPr>
        <w:t>职后</w:t>
      </w:r>
      <w:proofErr w:type="gramEnd"/>
      <w:r w:rsidRPr="001D58F7">
        <w:rPr>
          <w:rFonts w:ascii="宋体" w:eastAsia="宋体" w:hAnsi="宋体"/>
          <w:sz w:val="24"/>
          <w:szCs w:val="24"/>
        </w:rPr>
        <w:t>教师发展的有机衔接。夯实教师专业发展体系，推动教师终身学习和专业自主发展。提高教</w:t>
      </w:r>
      <w:r w:rsidRPr="001D58F7">
        <w:rPr>
          <w:rFonts w:ascii="宋体" w:eastAsia="宋体" w:hAnsi="宋体" w:hint="eastAsia"/>
          <w:sz w:val="24"/>
          <w:szCs w:val="24"/>
        </w:rPr>
        <w:t>师社会地位，完善教师待遇保障制度，健全中小学教师工资长效联动机制，全面落实集中连片特困地区生活补助政策。加大教师表彰力度，努力提高教师政治地位、社会地位、职业地位。</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w:t>
      </w:r>
      <w:r w:rsidRPr="001D58F7">
        <w:rPr>
          <w:rFonts w:ascii="宋体" w:eastAsia="宋体" w:hAnsi="宋体"/>
          <w:sz w:val="24"/>
          <w:szCs w:val="24"/>
        </w:rPr>
        <w:lastRenderedPageBreak/>
        <w:t>治理方式变革，加快形成现代化的教育管理与监测体系，推进管理精准化和决策科学化。</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w:t>
      </w:r>
      <w:r w:rsidRPr="001D58F7">
        <w:rPr>
          <w:rFonts w:ascii="宋体" w:eastAsia="宋体" w:hAnsi="宋体" w:hint="eastAsia"/>
          <w:sz w:val="24"/>
          <w:szCs w:val="24"/>
        </w:rPr>
        <w:t>育治理，深度参与国际教育规则、标准、评价体系的研究制定。推进与国际组织及专业机构的教育交流合作。健全对外教育援助机制。</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w:t>
      </w:r>
      <w:r w:rsidRPr="001D58F7">
        <w:rPr>
          <w:rFonts w:ascii="宋体" w:eastAsia="宋体" w:hAnsi="宋体" w:hint="eastAsia"/>
          <w:sz w:val="24"/>
          <w:szCs w:val="24"/>
        </w:rPr>
        <w:t>各级各类学校的积极性和创造性，鼓励大胆探索、积极改革创新，形成充满活力、富有效率、更加开放、有利于高质量发展的教育体制机制。</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为确保教育现代化目标任务的实现，《中国教育现代化2035》明确了三个方面的保障措施：</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二是完善教育现代化投入支撑体制。健全保证财政教育投入持续稳定增长的</w:t>
      </w:r>
      <w:r w:rsidRPr="001D58F7">
        <w:rPr>
          <w:rFonts w:ascii="宋体" w:eastAsia="宋体" w:hAnsi="宋体"/>
          <w:sz w:val="24"/>
          <w:szCs w:val="24"/>
        </w:rPr>
        <w:lastRenderedPageBreak/>
        <w:t>长效机制，确保财政一般公共预算教育支出</w:t>
      </w:r>
      <w:proofErr w:type="gramStart"/>
      <w:r w:rsidRPr="001D58F7">
        <w:rPr>
          <w:rFonts w:ascii="宋体" w:eastAsia="宋体" w:hAnsi="宋体"/>
          <w:sz w:val="24"/>
          <w:szCs w:val="24"/>
        </w:rPr>
        <w:t>逐年只</w:t>
      </w:r>
      <w:proofErr w:type="gramEnd"/>
      <w:r w:rsidRPr="001D58F7">
        <w:rPr>
          <w:rFonts w:ascii="宋体" w:eastAsia="宋体" w:hAnsi="宋体"/>
          <w:sz w:val="24"/>
          <w:szCs w:val="24"/>
        </w:rPr>
        <w:t>增不减，确保按在校学生人数平均的一般公共预算教育支出</w:t>
      </w:r>
      <w:proofErr w:type="gramStart"/>
      <w:r w:rsidRPr="001D58F7">
        <w:rPr>
          <w:rFonts w:ascii="宋体" w:eastAsia="宋体" w:hAnsi="宋体"/>
          <w:sz w:val="24"/>
          <w:szCs w:val="24"/>
        </w:rPr>
        <w:t>逐年只</w:t>
      </w:r>
      <w:proofErr w:type="gramEnd"/>
      <w:r w:rsidRPr="001D58F7">
        <w:rPr>
          <w:rFonts w:ascii="宋体" w:eastAsia="宋体" w:hAnsi="宋体"/>
          <w:sz w:val="24"/>
          <w:szCs w:val="24"/>
        </w:rPr>
        <w:t>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w:t>
      </w:r>
      <w:proofErr w:type="gramStart"/>
      <w:r w:rsidRPr="001D58F7">
        <w:rPr>
          <w:rFonts w:ascii="宋体" w:eastAsia="宋体" w:hAnsi="宋体"/>
          <w:sz w:val="24"/>
          <w:szCs w:val="24"/>
        </w:rPr>
        <w:t>全</w:t>
      </w:r>
      <w:proofErr w:type="gramEnd"/>
      <w:r w:rsidRPr="001D58F7">
        <w:rPr>
          <w:rFonts w:ascii="宋体" w:eastAsia="宋体" w:hAnsi="宋体"/>
          <w:sz w:val="24"/>
          <w:szCs w:val="24"/>
        </w:rPr>
        <w:t>覆盖全过程全方位的教育经费监管体系，全面提高经费使用效益。</w:t>
      </w:r>
    </w:p>
    <w:p w:rsidR="00F03F4D" w:rsidRPr="001D58F7" w:rsidRDefault="00F03F4D" w:rsidP="001D58F7">
      <w:pPr>
        <w:spacing w:line="300" w:lineRule="auto"/>
        <w:ind w:firstLineChars="200" w:firstLine="480"/>
        <w:rPr>
          <w:rFonts w:ascii="宋体" w:eastAsia="宋体" w:hAnsi="宋体"/>
          <w:sz w:val="24"/>
          <w:szCs w:val="24"/>
        </w:rPr>
      </w:pPr>
      <w:r w:rsidRPr="001D58F7">
        <w:rPr>
          <w:rFonts w:ascii="宋体" w:eastAsia="宋体" w:hAnsi="宋体"/>
          <w:sz w:val="24"/>
          <w:szCs w:val="24"/>
        </w:rPr>
        <w:t>三是完善落实机制。建立协同规划机制、</w:t>
      </w:r>
      <w:proofErr w:type="gramStart"/>
      <w:r w:rsidRPr="001D58F7">
        <w:rPr>
          <w:rFonts w:ascii="宋体" w:eastAsia="宋体" w:hAnsi="宋体"/>
          <w:sz w:val="24"/>
          <w:szCs w:val="24"/>
        </w:rPr>
        <w:t>健全跨</w:t>
      </w:r>
      <w:proofErr w:type="gramEnd"/>
      <w:r w:rsidRPr="001D58F7">
        <w:rPr>
          <w:rFonts w:ascii="宋体" w:eastAsia="宋体" w:hAnsi="宋体"/>
          <w:sz w:val="24"/>
          <w:szCs w:val="24"/>
        </w:rPr>
        <w:t>部门统筹协调机制，建立教育发展监测评价机制和</w:t>
      </w:r>
      <w:proofErr w:type="gramStart"/>
      <w:r w:rsidRPr="001D58F7">
        <w:rPr>
          <w:rFonts w:ascii="宋体" w:eastAsia="宋体" w:hAnsi="宋体"/>
          <w:sz w:val="24"/>
          <w:szCs w:val="24"/>
        </w:rPr>
        <w:t>督导问</w:t>
      </w:r>
      <w:proofErr w:type="gramEnd"/>
      <w:r w:rsidRPr="001D58F7">
        <w:rPr>
          <w:rFonts w:ascii="宋体" w:eastAsia="宋体" w:hAnsi="宋体"/>
          <w:sz w:val="24"/>
          <w:szCs w:val="24"/>
        </w:rPr>
        <w:t>责机制，全方位协同推进教育现代化，形成全社会关心、支持和主动参与教育现代化建设的良好氛围。</w:t>
      </w:r>
    </w:p>
    <w:p w:rsidR="001D58F7" w:rsidRPr="001D58F7" w:rsidRDefault="001D58F7" w:rsidP="001D58F7">
      <w:pPr>
        <w:spacing w:line="300" w:lineRule="auto"/>
        <w:ind w:firstLineChars="200" w:firstLine="480"/>
        <w:jc w:val="right"/>
        <w:rPr>
          <w:rFonts w:ascii="宋体" w:eastAsia="宋体" w:hAnsi="宋体"/>
          <w:sz w:val="24"/>
          <w:szCs w:val="24"/>
        </w:rPr>
      </w:pPr>
    </w:p>
    <w:p w:rsidR="001D58F7" w:rsidRPr="001D58F7" w:rsidRDefault="001D58F7" w:rsidP="001D58F7">
      <w:pPr>
        <w:spacing w:line="300" w:lineRule="auto"/>
        <w:ind w:firstLineChars="200" w:firstLine="480"/>
        <w:jc w:val="right"/>
        <w:rPr>
          <w:rFonts w:ascii="宋体" w:eastAsia="宋体" w:hAnsi="宋体"/>
          <w:sz w:val="24"/>
          <w:szCs w:val="24"/>
        </w:rPr>
      </w:pPr>
      <w:r w:rsidRPr="001D58F7">
        <w:rPr>
          <w:rFonts w:ascii="宋体" w:eastAsia="宋体" w:hAnsi="宋体" w:hint="eastAsia"/>
          <w:sz w:val="24"/>
          <w:szCs w:val="24"/>
        </w:rPr>
        <w:t>资料来源</w:t>
      </w:r>
      <w:r w:rsidRPr="001D58F7">
        <w:rPr>
          <w:rFonts w:ascii="宋体" w:eastAsia="宋体" w:hAnsi="宋体"/>
          <w:sz w:val="24"/>
          <w:szCs w:val="24"/>
        </w:rPr>
        <w:t>：中国教育报</w:t>
      </w:r>
      <w:r w:rsidRPr="001D58F7">
        <w:rPr>
          <w:rFonts w:ascii="宋体" w:eastAsia="宋体" w:hAnsi="宋体" w:hint="eastAsia"/>
          <w:sz w:val="24"/>
          <w:szCs w:val="24"/>
        </w:rPr>
        <w:t>2019年2月24日</w:t>
      </w:r>
      <w:r w:rsidRPr="001D58F7">
        <w:rPr>
          <w:rFonts w:ascii="宋体" w:eastAsia="宋体" w:hAnsi="宋体"/>
          <w:sz w:val="24"/>
          <w:szCs w:val="24"/>
        </w:rPr>
        <w:t>第</w:t>
      </w:r>
      <w:r w:rsidRPr="001D58F7">
        <w:rPr>
          <w:rFonts w:ascii="宋体" w:eastAsia="宋体" w:hAnsi="宋体" w:hint="eastAsia"/>
          <w:sz w:val="24"/>
          <w:szCs w:val="24"/>
        </w:rPr>
        <w:t>1版</w:t>
      </w:r>
    </w:p>
    <w:p w:rsidR="001D58F7" w:rsidRPr="001D58F7" w:rsidRDefault="001D58F7" w:rsidP="001D58F7">
      <w:pPr>
        <w:wordWrap w:val="0"/>
        <w:spacing w:line="300" w:lineRule="auto"/>
        <w:jc w:val="left"/>
        <w:rPr>
          <w:rFonts w:ascii="宋体" w:eastAsia="宋体" w:hAnsi="宋体" w:hint="eastAsia"/>
          <w:sz w:val="24"/>
          <w:szCs w:val="24"/>
        </w:rPr>
      </w:pPr>
      <w:r w:rsidRPr="001D58F7">
        <w:rPr>
          <w:rFonts w:ascii="宋体" w:eastAsia="宋体" w:hAnsi="宋体" w:hint="eastAsia"/>
          <w:sz w:val="24"/>
          <w:szCs w:val="24"/>
        </w:rPr>
        <w:t>链接</w:t>
      </w:r>
      <w:r w:rsidRPr="001D58F7">
        <w:rPr>
          <w:rFonts w:ascii="宋体" w:eastAsia="宋体" w:hAnsi="宋体"/>
          <w:sz w:val="24"/>
          <w:szCs w:val="24"/>
        </w:rPr>
        <w:t>：http://paper.jyb.cn/zgjyb/html/2019-02/24/content_513421.htm?div=-1</w:t>
      </w:r>
    </w:p>
    <w:sectPr w:rsidR="001D58F7" w:rsidRPr="001D58F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A5" w:rsidRDefault="005200A5" w:rsidP="001D58F7">
      <w:r>
        <w:separator/>
      </w:r>
    </w:p>
  </w:endnote>
  <w:endnote w:type="continuationSeparator" w:id="0">
    <w:p w:rsidR="005200A5" w:rsidRDefault="005200A5" w:rsidP="001D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42157"/>
      <w:docPartObj>
        <w:docPartGallery w:val="Page Numbers (Bottom of Page)"/>
        <w:docPartUnique/>
      </w:docPartObj>
    </w:sdtPr>
    <w:sdtContent>
      <w:sdt>
        <w:sdtPr>
          <w:id w:val="1728636285"/>
          <w:docPartObj>
            <w:docPartGallery w:val="Page Numbers (Top of Page)"/>
            <w:docPartUnique/>
          </w:docPartObj>
        </w:sdtPr>
        <w:sdtContent>
          <w:p w:rsidR="001D58F7" w:rsidRDefault="001D58F7">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1D58F7" w:rsidRDefault="001D58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A5" w:rsidRDefault="005200A5" w:rsidP="001D58F7">
      <w:r>
        <w:separator/>
      </w:r>
    </w:p>
  </w:footnote>
  <w:footnote w:type="continuationSeparator" w:id="0">
    <w:p w:rsidR="005200A5" w:rsidRDefault="005200A5" w:rsidP="001D5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4D"/>
    <w:rsid w:val="001D58F7"/>
    <w:rsid w:val="00377E67"/>
    <w:rsid w:val="005200A5"/>
    <w:rsid w:val="00F0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AC79"/>
  <w15:chartTrackingRefBased/>
  <w15:docId w15:val="{117A6BE2-0CE9-4C47-9010-1E405C87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F4D"/>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next w:val="a"/>
    <w:link w:val="a5"/>
    <w:uiPriority w:val="10"/>
    <w:qFormat/>
    <w:rsid w:val="00F03F4D"/>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F03F4D"/>
    <w:rPr>
      <w:rFonts w:asciiTheme="majorHAnsi" w:eastAsiaTheme="majorEastAsia" w:hAnsiTheme="majorHAnsi" w:cstheme="majorBidi"/>
      <w:b/>
      <w:bCs/>
      <w:sz w:val="32"/>
      <w:szCs w:val="32"/>
    </w:rPr>
  </w:style>
  <w:style w:type="paragraph" w:styleId="a6">
    <w:name w:val="header"/>
    <w:basedOn w:val="a"/>
    <w:link w:val="a7"/>
    <w:uiPriority w:val="99"/>
    <w:unhideWhenUsed/>
    <w:rsid w:val="001D58F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D58F7"/>
    <w:rPr>
      <w:sz w:val="18"/>
      <w:szCs w:val="18"/>
    </w:rPr>
  </w:style>
  <w:style w:type="paragraph" w:styleId="a8">
    <w:name w:val="footer"/>
    <w:basedOn w:val="a"/>
    <w:link w:val="a9"/>
    <w:uiPriority w:val="99"/>
    <w:unhideWhenUsed/>
    <w:rsid w:val="001D58F7"/>
    <w:pPr>
      <w:tabs>
        <w:tab w:val="center" w:pos="4153"/>
        <w:tab w:val="right" w:pos="8306"/>
      </w:tabs>
      <w:snapToGrid w:val="0"/>
      <w:jc w:val="left"/>
    </w:pPr>
    <w:rPr>
      <w:sz w:val="18"/>
      <w:szCs w:val="18"/>
    </w:rPr>
  </w:style>
  <w:style w:type="character" w:customStyle="1" w:styleId="a9">
    <w:name w:val="页脚 字符"/>
    <w:basedOn w:val="a0"/>
    <w:link w:val="a8"/>
    <w:uiPriority w:val="99"/>
    <w:rsid w:val="001D58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9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750</Words>
  <Characters>4275</Characters>
  <Application>Microsoft Office Word</Application>
  <DocSecurity>0</DocSecurity>
  <Lines>35</Lines>
  <Paragraphs>10</Paragraphs>
  <ScaleCrop>false</ScaleCrop>
  <Company>sq</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2019-03-04T02:01:00Z</dcterms:created>
  <dcterms:modified xsi:type="dcterms:W3CDTF">2019-03-04T02:12:00Z</dcterms:modified>
</cp:coreProperties>
</file>